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95" w:rsidRPr="003A5595" w:rsidRDefault="003A5595" w:rsidP="003A5595">
      <w:pPr>
        <w:keepNext/>
        <w:spacing w:before="120" w:after="0" w:line="240" w:lineRule="auto"/>
        <w:ind w:left="5670"/>
        <w:rPr>
          <w:rFonts w:ascii="Times New Roman" w:hAnsi="Times New Roman" w:cs="Times New Roman"/>
          <w:snapToGrid w:val="0"/>
          <w:sz w:val="24"/>
          <w:szCs w:val="24"/>
        </w:rPr>
      </w:pPr>
      <w:r w:rsidRPr="003A5595">
        <w:rPr>
          <w:rFonts w:ascii="Times New Roman" w:hAnsi="Times New Roman" w:cs="Times New Roman"/>
          <w:snapToGrid w:val="0"/>
          <w:sz w:val="24"/>
          <w:szCs w:val="24"/>
        </w:rPr>
        <w:t>Приложение</w:t>
      </w:r>
      <w:r w:rsidR="00A42AB2">
        <w:rPr>
          <w:rFonts w:ascii="Times New Roman" w:hAnsi="Times New Roman" w:cs="Times New Roman"/>
          <w:snapToGrid w:val="0"/>
          <w:sz w:val="24"/>
          <w:szCs w:val="24"/>
        </w:rPr>
        <w:t xml:space="preserve"> №1</w:t>
      </w:r>
    </w:p>
    <w:p w:rsidR="00750B24" w:rsidRPr="003A5595" w:rsidRDefault="003A5595" w:rsidP="003A5595">
      <w:pPr>
        <w:keepNext/>
        <w:spacing w:before="120" w:after="0" w:line="240" w:lineRule="auto"/>
        <w:ind w:left="5670"/>
        <w:rPr>
          <w:rFonts w:ascii="Times New Roman" w:eastAsiaTheme="minorHAnsi" w:hAnsi="Times New Roman" w:cs="Times New Roman"/>
          <w:snapToGrid w:val="0"/>
          <w:sz w:val="24"/>
          <w:szCs w:val="24"/>
          <w:lang w:eastAsia="en-US"/>
        </w:rPr>
      </w:pPr>
      <w:r w:rsidRPr="003A5595">
        <w:rPr>
          <w:rFonts w:ascii="Times New Roman" w:hAnsi="Times New Roman" w:cs="Times New Roman"/>
          <w:snapToGrid w:val="0"/>
          <w:sz w:val="24"/>
          <w:szCs w:val="24"/>
        </w:rPr>
        <w:t>к Приказу №__</w:t>
      </w:r>
      <w:r w:rsidR="002F22FD">
        <w:rPr>
          <w:rFonts w:ascii="Times New Roman" w:hAnsi="Times New Roman" w:cs="Times New Roman"/>
          <w:snapToGrid w:val="0"/>
          <w:sz w:val="24"/>
          <w:szCs w:val="24"/>
        </w:rPr>
        <w:t>14-п</w:t>
      </w:r>
      <w:r w:rsidRPr="003A5595">
        <w:rPr>
          <w:rFonts w:ascii="Times New Roman" w:hAnsi="Times New Roman" w:cs="Times New Roman"/>
          <w:snapToGrid w:val="0"/>
          <w:sz w:val="24"/>
          <w:szCs w:val="24"/>
        </w:rPr>
        <w:t>__ от 07.0</w:t>
      </w:r>
      <w:r w:rsidR="002F22FD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3A5595">
        <w:rPr>
          <w:rFonts w:ascii="Times New Roman" w:hAnsi="Times New Roman" w:cs="Times New Roman"/>
          <w:snapToGrid w:val="0"/>
          <w:sz w:val="24"/>
          <w:szCs w:val="24"/>
        </w:rPr>
        <w:t>.2017 г.</w:t>
      </w:r>
    </w:p>
    <w:p w:rsidR="003A5595" w:rsidRDefault="003A5595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A5595" w:rsidRPr="003A5595" w:rsidRDefault="00750B24" w:rsidP="003A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отнесения Клиентов к категории иностранных налогоплательщиков (Персонам США) в целях FATCA и способы получения информации для целей отнесения клиентов к категории иностранных налогоплательщиков (Персон США)</w:t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Критерии отнесения физических лиц (включая инд</w:t>
      </w:r>
      <w:r w:rsid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ивидуальных предпринимателей) к </w:t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налогоплательщиков США (Персон США).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1.1. Физическое лицо является гражданином США;</w:t>
      </w:r>
    </w:p>
    <w:p w:rsidR="003A5595" w:rsidRPr="003A5595" w:rsidRDefault="003A5595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1.2. Физическое лицо имеет разрешение на постоянное пребы</w:t>
      </w:r>
      <w:r w:rsid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(вид на жительство) в США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карточка постоянного жителя США (форма I-551 («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Card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»));</w:t>
      </w:r>
    </w:p>
    <w:p w:rsidR="003A5595" w:rsidRPr="003A5595" w:rsidRDefault="003A5595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1.3. Физическое лицо соответствует критериям «долгосрочного пребывания в США», т.е.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физическое лицо находилось на территории США не менее срока, установленного законодательством США для признания налогоплательщиком – резидентом США.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Применительно к США долгосрочным считается пребывание, если срок нахождения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иностранного государства в текущем году, а также в двух предшествующих годах, умножается на установленный коэффициент: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 для текущего года равен 1 (т.е. учитываются все дни, проведенные в США в те</w:t>
      </w:r>
      <w:r w:rsidR="003A5595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кущем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году);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 предшествующего года равен 1/3;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</w:t>
      </w:r>
      <w:r w:rsidR="003A5595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позапрошлого года равен 1/6.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Налоговыми резидентами США не признаются учител</w:t>
      </w:r>
      <w:r w:rsidR="003A5595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студенты и стажеры, временно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присутствовавшие на территории США на основании виз типа «F», «J», «M» или «Q».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1.4. Дополнительные признаки, которые могут свидетельствовать о принадлежности клиента к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категории налогоплательщиков США (Персоны США), могут быть установлены Банком на основе сведений, представленных клиентом в целях идентификации и обслуживания. Для целей выявления налогоплательщиков США данные признаки включают в себя: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рождения в США;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(почтовый адрес</w:t>
      </w:r>
      <w:r w:rsidR="003A5595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почтовый ящик) в США;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телефонный номер США (код страны начинается с «+1»);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действующие инструкции по платежам в США;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доверенность, выданная лицу с адресом в США;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подписи предоставлено лицу с адресом в США;</w:t>
      </w:r>
    </w:p>
    <w:p w:rsidR="003A5595" w:rsidRP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качестве единственного адреса для направления выписок по счетам, открытым в кредитной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организации, в отношении данного лица указано «для передачи» или «до востребования».</w:t>
      </w:r>
    </w:p>
    <w:p w:rsidR="003A5595" w:rsidRPr="003A5595" w:rsidRDefault="003A5595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лицо не может быть отнесено Банком к категории клиента – налогоплательщика США (Персоны США) в том случае, если физическое лицо является гражданином Российской Федерации и не имеет одновременно с гражданством Российской Федерации второго гражданства США, вида на жительство в США (разрешения на постоянное пребывание в США) или не проживает постоянно (долгосрочно пребывает) в США.</w:t>
      </w:r>
      <w:proofErr w:type="gramEnd"/>
    </w:p>
    <w:p w:rsidR="00EE1FD1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Критерии отнесения юридических лиц к категории налогоплательщиков США (Персон США).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2.1. Страной регистрации/учреждения юридического лица является США. При этом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налогоплательщиками США не являются лица, перечисленные в Части 6;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Наличие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налогового</w:t>
      </w:r>
      <w:proofErr w:type="gram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резидентства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США;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В состав существенных собственников (контролирующих лиц) организации входят физические или юридические лица, являющиеся налогоплательщиками США.</w:t>
      </w:r>
    </w:p>
    <w:p w:rsidR="003A5595" w:rsidRDefault="00750B24" w:rsidP="003A5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 является налогоплательщиком США, если более 10 процентов (от 0 процентов для  инвестиционных компаний) его акций (долей участия) принадлежит:</w:t>
      </w:r>
    </w:p>
    <w:p w:rsidR="003A5595" w:rsidRPr="003A5595" w:rsidRDefault="003A5595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физическому лицу, которое признается налогоплательщиком США (Персоной США) на основании  критериев, изложенных в п. 1;</w:t>
      </w:r>
    </w:p>
    <w:p w:rsidR="003A5595" w:rsidRPr="003A5595" w:rsidRDefault="003A5595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юридическому лицу, зарегистрированному/учрежденному на территории США, не относящемуся к категории юридических лиц, исключенных из состава специально указанных налоговых резидентов (перечень таких лиц приведен в Части 6), если более 50% (по отдельности или в совокупности) совокупного дохода такой организации за предшествующий год составляют «пассивные доходы» (структура пассивных доходов определена в Части 3), и более 50% (по отдельности или в совокупности</w:t>
      </w:r>
      <w:proofErr w:type="gramEnd"/>
      <w:r w:rsidR="00750B24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 от средневзвешенной величины активов юридического лица (на конец квартала) составляют активы, приносящие такой доход. При этом существенные собственники (контролирующие лица) в отношении указанных организаций определяются на</w:t>
      </w:r>
      <w:r w:rsidR="00750B24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дату проведения идентификации.</w:t>
      </w:r>
    </w:p>
    <w:p w:rsidR="003A5595" w:rsidRP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Порядок определения контролирующих лиц для компаний, зарегистрированных на территории США, а также порядок определения доли косвенного владения юридическим лицом приводятся в Части 4.</w:t>
      </w:r>
    </w:p>
    <w:p w:rsidR="003A5595" w:rsidRDefault="003A5595" w:rsidP="003A5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95" w:rsidRDefault="00750B24" w:rsidP="003A5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2.4. Дополнительные признаки, которые могут свидетельствовать о принадлежности клиента к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категории налогоплательщиков США (Персон США), могут быть установлены Банком на основе сведений,  представленных клиентом в целях идентификации и обслуживания.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целей выявления налогоплательщиков США (Персон США) данные признаки включают в себя:</w:t>
      </w:r>
    </w:p>
    <w:p w:rsid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почтовый адрес в США;</w:t>
      </w:r>
    </w:p>
    <w:p w:rsid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телефонный номер США (код страны начинается с «+1»);</w:t>
      </w:r>
    </w:p>
    <w:p w:rsid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доверенность, выданная лицу с адресом в США;</w:t>
      </w:r>
    </w:p>
    <w:p w:rsid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подписи, выданное лицу с адресом в США;</w:t>
      </w:r>
    </w:p>
    <w:p w:rsidR="003A5595" w:rsidRDefault="00750B24" w:rsidP="003A55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качестве единственного адреса для направления выписок </w:t>
      </w:r>
      <w:r w:rsid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счетам, открытым в кредитной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 отношении данного лица указано «для передачи» или «до востребования».</w:t>
      </w:r>
    </w:p>
    <w:p w:rsid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2.5.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 не может быть отнесено к категории налогоплательщиков США (Персон США), если более 90 процентов акций (долей участия) в его уставном каптале прямо или косвенно контролируются Российской Федерацией и (или) гражданами Российской Федерации (в том числе имеющими одновременно с гражданством Российской Федерации гражданство государства - члена Таможенного союза), за исключением физических лиц, имеющих наряду с гражданством Российской Федерации гражданство США</w:t>
      </w:r>
      <w:proofErr w:type="gram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имеющих вид на жительство в США</w:t>
      </w:r>
      <w:r w:rsid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A5595" w:rsidRDefault="00EE1FD1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A5595" w:rsidRDefault="003A5595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95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2</w:t>
      </w:r>
    </w:p>
    <w:p w:rsidR="00EE1FD1" w:rsidRDefault="00750B24" w:rsidP="00C5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получения информации для целей отнесения Клиентов к категории иностранных налогоплательщиков (Персон США)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 вправе использовать </w:t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любые доступные на законных основаниях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получения информации для целей отнесения своего клиента к категории иностранных налогоплательщиков (Персон США), в том числе, такие как:</w:t>
      </w:r>
    </w:p>
    <w:p w:rsidR="00EE1FD1" w:rsidRPr="00EE1FD1" w:rsidRDefault="00750B24" w:rsidP="00EE1F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и устные вопросы/запросы Клиенту;</w:t>
      </w:r>
    </w:p>
    <w:p w:rsidR="00EE1FD1" w:rsidRDefault="00750B24" w:rsidP="00EE1F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Клиентом формы, подтверждающей/опровергающей возможность его отнесения к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категории иностранного налогоплательщика (Персоны США) (формы документов Службы внутренних доходов США (</w:t>
      </w:r>
      <w:proofErr w:type="spell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Internal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Revenue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Service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– IRS) используемые в целях исполнения требований FATCA (W-9, W-8BEN, W-8BEN-E и др.), форм, разработанных Банком самостоятельно (в т.ч. анкета-</w:t>
      </w:r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FATCA</w:t>
      </w:r>
      <w:proofErr w:type="gram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));</w:t>
      </w:r>
    </w:p>
    <w:p w:rsidR="00EE1FD1" w:rsidRDefault="00750B24" w:rsidP="00EE1F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доступной информации о клиенте;</w:t>
      </w:r>
    </w:p>
    <w:p w:rsidR="00EE1FD1" w:rsidRPr="00EE1FD1" w:rsidRDefault="00750B24" w:rsidP="00EE1F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способы, разумные и достаточные в соответствующей ситуации.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пассивных доходов</w:t>
      </w:r>
      <w:r w:rsid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целей FATCA к пассивным доходам относятся: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Дивиденды;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Проценты;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Доходы, полученные от пула страховых договоров, при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что полученные суммы зависят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целиком или в части от доходности пула;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 и роялти (за исключением ренты и роялти, полученн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ходе активной операционной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деятельности);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Аннуитеты;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Прибыль от продажи или обмена имущества, приносящего один из видов вышеуказанных доходов;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от сделок с биржевыми товарами (включая фьючерсы, форварды и аналогичные сделки), за исключением сделок, которые являются хеджирующими, при условии, что сделки с такими товарами являются основной деятельностью организации;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от операций с иностранной валютой (</w:t>
      </w:r>
      <w:proofErr w:type="gramStart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</w:t>
      </w:r>
      <w:proofErr w:type="gramEnd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отрицательные курсовые разницы);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Контракты, стоимость которых привязана к базовому активу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номиналу), 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деривативы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(валютный СВОП, процентный СВОП, опционы и др.);</w:t>
      </w:r>
    </w:p>
    <w:p w:rsidR="00EE1FD1" w:rsidRDefault="00750B24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Выкупная сумма по договору страхования или сумма займа, обе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спеченная договором страхования.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определения контролирующих лиц компаний, зарегистрированных на территории США, и определения доли косвенного владения юридическим лицом</w:t>
      </w:r>
      <w:r w:rsid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Контролирующее лицо компании, зарегистрированной на территории США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- это:</w:t>
      </w:r>
    </w:p>
    <w:p w:rsidR="00EE1FD1" w:rsidRDefault="00750B24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1FD1">
        <w:t xml:space="preserve">-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корпорации – лицо, которое прямо или косвенно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владеет более 10% акций данной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корпорации (по количеству голосов или стоимости);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партнерства – лицо, которое прямо или косвенно владеет более 10% долей в партнерстве;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траста – лицо, прямо или косвенно владеющее более 10% долей траста.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Лицо будет считаться существенным собственником доли траста, если такое лицо имеет право получить</w:t>
      </w:r>
      <w:r w:rsidR="00186516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прямо, косвенно или через номинального получателя обязательные выплаты из траста (</w:t>
      </w:r>
      <w:proofErr w:type="spellStart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mandatory</w:t>
      </w:r>
      <w:proofErr w:type="spellEnd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distributions</w:t>
      </w:r>
      <w:proofErr w:type="spellEnd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86516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т.е. выплаты, размер которых определяется на основании договора траста, а также дискреционные выплаты из</w:t>
      </w:r>
      <w:r w:rsidR="00186516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траста, т.е. выплаты, совершенные по усмотрению управляющего (</w:t>
      </w:r>
      <w:proofErr w:type="spellStart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discretionary</w:t>
      </w:r>
      <w:proofErr w:type="spellEnd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</w:t>
      </w:r>
      <w:proofErr w:type="spellEnd"/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В отношении трастов 10%-ая доля будет определяться как:</w:t>
      </w:r>
    </w:p>
    <w:p w:rsidR="00EE1FD1" w:rsidRDefault="00750B24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1FD1">
        <w:t xml:space="preserve">-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дискреционных выплат – если справедливая рыночна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я стоимость (</w:t>
      </w:r>
      <w:proofErr w:type="spellStart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fair</w:t>
      </w:r>
      <w:proofErr w:type="spellEnd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proofErr w:type="spellEnd"/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(денег или имущества) превышает 10% стоимости либо всех выплат, совершенных в текущем году,</w:t>
      </w:r>
      <w:r w:rsidR="00186516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стоимости активов, принадлежащих трасту на конец года, в котором совершена выплата;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обязательных выплат – если размер выплаты превышает 10% стоимости активов траста.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определения доли косвенного владения юридическим лицом</w:t>
      </w:r>
      <w:r w:rsid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косвенного владения юридическим лицом определяется по следующим правилам: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случаев косвенного владения акциями (долями): если акциями (долями) иностранной компании владеет другая компания (партнерство или траст), то акционеры (владельцы) данной другой компании будут считаться владельцами иностранной компании пропорционально своей доле в данной другой компании (партнерстве или трасте);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случаев косвенного владения долей в партнерстве или трасте: если долей в партнерстве или трасте владеет другая компания (партнерство или траст), то акционеры (владельцы) данной другой компании будут считаться владельцами иностранной компании пропорционально своей доле в данной другой компании (партнерстве или трасте);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случаев владения посредством опционов: если контролирующее лицо владеет, прямо или косвенно (косвенное владение определяется аналогично случаев косвенного владения долей в партнерстве или трасте), опционом на покупку акций иностранной компании (долей в партнерстве или трасте), такое лицо будет считаться владельцем акций (долей) самой иностранной компании (партнерства/траста) в доле, указанной в опционе;</w:t>
      </w:r>
      <w:proofErr w:type="gramEnd"/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доли лица в иностранной корпорации/партнерстве/трасте необходимо принимать во внимание все факты и обстоятельства, имеющие значение. При этом любые инструменты, которые созданы для сокрытия (искусственного снижения) доли владения, должны игнорироваться;</w:t>
      </w:r>
    </w:p>
    <w:p w:rsidR="00EE1FD1" w:rsidRDefault="00EE1FD1" w:rsidP="00EE1F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0B24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доли лица в иностранной корпорации/партнерстве/трасте необходимо суммировать его долю с долями, которыми владеют лица, связанные с данным лицом, в т.ч. супруги, члены семьи владельца акций и т.д.).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sz w:val="24"/>
          <w:szCs w:val="24"/>
        </w:rPr>
        <w:br/>
      </w: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5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юридических лиц, осуществляющих деятельность, признаваемую финансовой в целях FATCA</w:t>
      </w:r>
      <w:r w:rsid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1FD1" w:rsidRDefault="00750B24" w:rsidP="00EE1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лицо, которое осуществляет деятельность, признаваемую финансовой в целях FATCA (далее - Иностранный финансовый институт или FFI) - юридическое лицо, учреждено за пределами США, и соответствующее одному или нескольким из приведенных ниже критериев:</w:t>
      </w:r>
    </w:p>
    <w:p w:rsidR="00EE1FD1" w:rsidRPr="00EE1FD1" w:rsidRDefault="00750B24" w:rsidP="000A56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Юридическое лицо привлекает во вклады (депозиты)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физических и юридических лиц в рамках обычной банковской или аналогичной деятельности.</w:t>
      </w:r>
    </w:p>
    <w:p w:rsidR="00EE1FD1" w:rsidRDefault="00750B24" w:rsidP="000A56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Юридическое лицо является депозитарием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(осуществляет учет и хранение финансовых активов (сертификаты ценных бумаг) третьих лиц в качестве существенной части своей деятельности:</w:t>
      </w:r>
      <w:proofErr w:type="gramEnd"/>
    </w:p>
    <w:p w:rsidR="00EE1FD1" w:rsidRDefault="00750B24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доход юридического лица, относящийся к учету и хранению финансовых активов третьих лиц и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сопутствующим финансовым услугам, равен или превышает 20 процентов от общего дохода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организации в течение меньшего из следующих периодов: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(i) трехлетнего периода, заканчивающегося 31 декабря (или в последний день отчетного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периода, не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совпадающего с календарным годом), предшествующего году, в котором осуществляется расчет;</w:t>
      </w:r>
      <w:proofErr w:type="gram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периода существования организации).</w:t>
      </w:r>
    </w:p>
    <w:p w:rsidR="00EE1FD1" w:rsidRDefault="00EE1FD1" w:rsidP="00EE1FD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FD1" w:rsidRDefault="00750B24" w:rsidP="000A56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Юридическое лицо является инвестиционной организацией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(осуществляющей (или находящейся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под управлением организации, которая в качестве своей деятельности осуществляет) следующие виды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пользу или от имени клиентов: в т.ч.:</w:t>
      </w:r>
      <w:proofErr w:type="gramEnd"/>
    </w:p>
    <w:p w:rsidR="00EE1FD1" w:rsidRDefault="00750B24" w:rsidP="00EE1FD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i) Осуществляет операции с инструментами денежного р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ынка (чеки, векселя, депозитные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сертификаты, производные финансовые инструмент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т.д.), иностранной валютой,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валютными, процентными и индексируемыми инстр</w:t>
      </w:r>
      <w:r w:rsid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ументами, обращающимися ценными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бумагами, или фьючерсами на товары; или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FD1" w:rsidRDefault="00750B24" w:rsidP="00EE1FD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операции по доверительному управлению имуществом третьих лиц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(управляющие компании); или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A5633" w:rsidRDefault="00750B24" w:rsidP="00EE1FD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 Иным образом инвестирует, администрирует или управляет средствами или деньгами в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 третьих лиц; или</w:t>
      </w:r>
      <w:proofErr w:type="gramEnd"/>
    </w:p>
    <w:p w:rsidR="000A5633" w:rsidRDefault="00750B24" w:rsidP="00EE1FD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Организация является (либо заявляет, что является) коллективным инвестиционным фондом,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паевым инвестиционным фондом, биржевым фондом, фондом прямых инвестиций, </w:t>
      </w:r>
      <w:proofErr w:type="spellStart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хеджфондом</w:t>
      </w:r>
      <w:proofErr w:type="spellEnd"/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, венчурным фондом, или иным аналогичным инвестиционным фондом, учрежденным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стратегии инвестирования, реинвестирования, либо торговли финансовыми</w:t>
      </w:r>
      <w:r w:rsidR="00D5058B"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активами или</w:t>
      </w:r>
      <w:proofErr w:type="gramEnd"/>
    </w:p>
    <w:p w:rsidR="000A5633" w:rsidRDefault="00750B24" w:rsidP="000A563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v) Валовый доход юридического лица, относящийся к инвестиро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ванию и реинвестированию, равен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превышает 50 процентов всего валового дохода ор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в течение меньшего из </w:t>
      </w:r>
      <w:r w:rsidRPr="00EE1FD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периодов:</w:t>
      </w:r>
    </w:p>
    <w:p w:rsidR="000A5633" w:rsidRDefault="00750B24" w:rsidP="000A563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(i) трехлетнего периода, заканчивающегося 31 декабря (или в п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оследний день отчетного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периода, не совпадающего с календарным годом), 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предшествующего году, в котором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расчет; или</w:t>
      </w:r>
      <w:r w:rsidR="00D5058B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5633" w:rsidRDefault="00750B24" w:rsidP="000A563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периода существования организации)</w:t>
      </w:r>
      <w:proofErr w:type="gramEnd"/>
    </w:p>
    <w:p w:rsidR="000A5633" w:rsidRDefault="00750B24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0A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Юридическое лицо является определенной страховой организацией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осуществляющей денежные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в отношении договора накопительного страхования жизни на случай смерти, дожития до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возраста или срока либо наступления иного события или договора страхования жизни с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 периодических страховых выплат (ренты, аннуитетов).</w:t>
      </w:r>
      <w:proofErr w:type="gramEnd"/>
    </w:p>
    <w:p w:rsidR="000A5633" w:rsidRDefault="00750B24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r w:rsidRPr="000A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Юридическое лицо является холдинговой компанией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расширенную группу аффилированных лиц*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входит страховая компания.</w:t>
      </w:r>
    </w:p>
    <w:p w:rsidR="000A5633" w:rsidRDefault="00750B24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sz w:val="24"/>
          <w:szCs w:val="24"/>
        </w:rPr>
        <w:br/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0A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Юридическое лицо является холдинговой или казначейской компанией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Входит в одну расширенную группу аффилированных лиц с депозитарием, или лицом, привлекающим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 во вклады, инвестиционной или страховой компанией. Основным видом деятельности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холдинговой компании является прямое или косвенное владение выпущенными акциями (долями в уставном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капитале) компаний расширенной группы аффилированных лиц. Основным видом деятельности казначейской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 является участие в операциях по инвестированию, хеджированию и финансированию с (или) в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интересах участникам</w:t>
      </w:r>
      <w:proofErr w:type="gramStart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spellStart"/>
      <w:proofErr w:type="gramEnd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расширенной </w:t>
      </w:r>
      <w:proofErr w:type="spellStart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аффилированной</w:t>
      </w:r>
      <w:proofErr w:type="spellEnd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группы.</w:t>
      </w:r>
    </w:p>
    <w:p w:rsidR="00750B24" w:rsidRDefault="00750B24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</w:t>
      </w:r>
      <w:r w:rsidRPr="000A5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Юридическое лицо учреждается или используется коллективным инвестиционным фондом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, паевым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инвестиционным фондом, биржевым фондом, фондом прямых инвестиций, хедж-фондом, венчурным фондом,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 аналогичным инвестиционным фондом, учрежденным для реализации стратегии инвестирования,</w:t>
      </w:r>
      <w:r w:rsidR="002647DE"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реинвестирования, либо торговли </w:t>
      </w:r>
      <w:proofErr w:type="gramStart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финансовыми</w:t>
      </w:r>
      <w:proofErr w:type="gramEnd"/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активам.</w:t>
      </w:r>
    </w:p>
    <w:p w:rsidR="000A5633" w:rsidRPr="000A5633" w:rsidRDefault="000A5633" w:rsidP="000A5633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516" w:rsidRPr="003A5595" w:rsidRDefault="00186516" w:rsidP="000A5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sz w:val="24"/>
          <w:szCs w:val="24"/>
        </w:rPr>
        <w:t xml:space="preserve">Все финансовые институты, которые по одной или более цепочкам владения принадлежат общей головной организации, и общая головная организация напрямую владеет акциями и иными долями участия, по крайней мере, в одном из членов такой группы, формируют </w:t>
      </w:r>
      <w:r w:rsidRPr="003A5595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расширенную группу аффилированных лиц (</w:t>
      </w:r>
      <w:r w:rsidRPr="003A5595">
        <w:rPr>
          <w:rFonts w:ascii="Times New Roman" w:eastAsia="Times New Roman" w:hAnsi="Times New Roman" w:cs="Times New Roman"/>
          <w:sz w:val="24"/>
          <w:szCs w:val="24"/>
          <w:lang w:val="en-US"/>
        </w:rPr>
        <w:t>EAG</w:t>
      </w:r>
      <w:r w:rsidRPr="003A5595">
        <w:rPr>
          <w:rFonts w:ascii="Times New Roman" w:eastAsia="Times New Roman" w:hAnsi="Times New Roman" w:cs="Times New Roman"/>
          <w:sz w:val="24"/>
          <w:szCs w:val="24"/>
        </w:rPr>
        <w:t xml:space="preserve">). При этом общей головной организацией, за исключением определенных случаев, может являться только корпорация. Партнерства, инвестиционные фонды и иные аналогичные объединения (иные, чем корпорации) признаются входящими в состав </w:t>
      </w:r>
      <w:r w:rsidRPr="003A5595">
        <w:rPr>
          <w:rFonts w:ascii="Times New Roman" w:eastAsia="Times New Roman" w:hAnsi="Times New Roman" w:cs="Times New Roman"/>
          <w:sz w:val="24"/>
          <w:szCs w:val="24"/>
          <w:lang w:val="en-US"/>
        </w:rPr>
        <w:t>EAG</w:t>
      </w:r>
      <w:r w:rsidRPr="003A5595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более 50% (по стоимости) капитала, доли в прибыли или в праве на получение прибыли принадлежат напрямую оному или нескольким членам </w:t>
      </w:r>
      <w:r w:rsidRPr="003A5595">
        <w:rPr>
          <w:rFonts w:ascii="Times New Roman" w:eastAsia="Times New Roman" w:hAnsi="Times New Roman" w:cs="Times New Roman"/>
          <w:sz w:val="24"/>
          <w:szCs w:val="24"/>
          <w:lang w:val="en-US"/>
        </w:rPr>
        <w:t>EAG</w:t>
      </w:r>
      <w:r w:rsidRPr="003A5595">
        <w:rPr>
          <w:rFonts w:ascii="Times New Roman" w:eastAsia="Times New Roman" w:hAnsi="Times New Roman" w:cs="Times New Roman"/>
          <w:sz w:val="24"/>
          <w:szCs w:val="24"/>
        </w:rPr>
        <w:t xml:space="preserve"> (включая головную организацию). 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sz w:val="24"/>
          <w:szCs w:val="24"/>
        </w:rPr>
        <w:br/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6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юридических лиц, не подпадающих под действие FATCA.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Исключенные финансовые институты (</w:t>
      </w:r>
      <w:proofErr w:type="spellStart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Excepted</w:t>
      </w:r>
      <w:proofErr w:type="spellEnd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FFI).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Организации, являющиеся членами исключенных нефинансовых групп 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Excepted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nonfinancial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="00186516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entities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 (не подпадают под требования FATCA при соблюдении определенных условий). К данной группе</w:t>
      </w:r>
      <w:r w:rsidR="00186516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нефинансовые холдинговые компании,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хеджинговые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финансовые центры нефинансовых групп, за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инвестиционных фондов;</w:t>
      </w:r>
    </w:p>
    <w:p w:rsidR="000A5633" w:rsidRPr="002F22FD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создаваемые нефинансовые компании – «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» и компании, запускающие новые линии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бизнеса 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Excepted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nonfinancial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start-up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companies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companies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entering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business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), за исключением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компаний, которые осуществляют свою деятельность (или позиционируют себя) как фонды прямого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инвестирования, фонды венчурного капитала, фонды заемных средств или иные подобные инвестиционные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компании, созданные с инвестиционной целью приобретения или финансирования компаний или владения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долей в</w:t>
      </w:r>
      <w:proofErr w:type="gram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компаниях в качестве капитальных активов, приобретенных в инвестиционных целях;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7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банкротства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(Excepted nonfinancial entities in liquidation or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bankruptcy);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Внутригрупповые финансовые институты 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Excepted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inter-affiliate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FFI);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Организации США, определенные в секции 501(c) Налогового кодекса США, к которым относятся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некоммерческие организации, освобожденные от налогообложения в США, в том числе, например:</w:t>
      </w:r>
    </w:p>
    <w:p w:rsidR="000A5633" w:rsidRDefault="00750B24" w:rsidP="000A5633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благотворительные, религиозные, образовательные, научные, литературные организации;</w:t>
      </w:r>
    </w:p>
    <w:p w:rsidR="000A5633" w:rsidRDefault="00750B24" w:rsidP="000A5633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организации, проводящие испытания в целях общественной безопасности;</w:t>
      </w:r>
    </w:p>
    <w:p w:rsidR="000A5633" w:rsidRDefault="00750B24" w:rsidP="000A5633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организации, содействующие национальным или междун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ародным любительским спортивным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соревнованиям;</w:t>
      </w:r>
    </w:p>
    <w:p w:rsidR="000A5633" w:rsidRDefault="00750B24" w:rsidP="000A5633">
      <w:pPr>
        <w:pStyle w:val="a3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организации, препятствующие жестокому о</w:t>
      </w:r>
      <w:r w:rsidR="00507F78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бращению с детьми или животными.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6. Некоммерческие организации 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Non-profit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Юридические лица, освобожденные из-под действия FATCA по признаку статуса</w:t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бенефициарного</w:t>
      </w:r>
      <w:proofErr w:type="spellEnd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владельца (</w:t>
      </w:r>
      <w:proofErr w:type="spellStart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Exempt</w:t>
      </w:r>
      <w:proofErr w:type="spellEnd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beneficial</w:t>
      </w:r>
      <w:proofErr w:type="spellEnd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owners</w:t>
      </w:r>
      <w:proofErr w:type="spellEnd"/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Органы власти и правительственные учреждения, либо юридические лица, полностью им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принадлежащие;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Международные организации либо организации, полностью им принадлежащие;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3. Центральные банки и эмиссионные банки;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Органы власти территорий США;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5. Отдельные виды пенсионных фондов;</w:t>
      </w:r>
    </w:p>
    <w:p w:rsidR="000A5633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6. Инвестиционные институты, полностью принадлежащие освобожденным бенефициарным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владельцам, при условии, что каждый прямой владелец долевого участия в организации – освобожденный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бенефициарный владелец, и каждый прямой владелец доли участия в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заемном капитале такой организации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или депозитным институтом (относительно займа, предоставленного такой организации), или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освобожденным бенефициарным владельцем;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Иные организации, в соответствии с положениями соответствующе</w:t>
      </w:r>
      <w:r w:rsidR="000A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согласованного Приложения II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к межправительственному соглашению по Модели 1 или 2 (в случае, если юридическое лицо создано в стране,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с которой США имеет соотв</w:t>
      </w:r>
      <w:r w:rsidR="00507F7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етствующее соглашение по FATCA).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Финансовые институты, исключенные из-под действия FATCA</w:t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Финансовые организации,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задокументированные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владельцем (</w:t>
      </w:r>
      <w:proofErr w:type="spellStart"/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wner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FFI);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Признанные соблюдающими требования FATCA финансовые институты, подлежащие сертификации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deemed-compliant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FFI), к которым относятся:</w:t>
      </w:r>
    </w:p>
    <w:p w:rsidR="00507F78" w:rsidRP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7F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</w:t>
      </w:r>
      <w:proofErr w:type="gramEnd"/>
      <w:r w:rsidRPr="00507F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банки</w:t>
      </w:r>
      <w:r w:rsidRPr="00507F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(Nonregistering local bank);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финансовые организации, открывающие счета, остаток на которых ниже минимально установленных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порогов (FFI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low-value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accounts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спонсируемые инвестиционные компании закрытого типа 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Sponsored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closely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vehicles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инвестиционные консультанты и инвестиционные менеджеры;</w:t>
      </w:r>
    </w:p>
    <w:p w:rsidR="00507F78" w:rsidRDefault="00750B24" w:rsidP="000A5633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инвестиционные компании ограниченного срока действия, инвес</w:t>
      </w:r>
      <w:r w:rsidR="00507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тирующие в долговые инструменты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Limited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debt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entities</w:t>
      </w:r>
      <w:proofErr w:type="spellEnd"/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507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0B24" w:rsidRPr="003A5595" w:rsidRDefault="00750B24" w:rsidP="000A56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5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Г) Нефинансовые иностранные организации (NFFE)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иностранное юридическое лицо, которое не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финансовым институтом, либо иностранное юридическое лицо, рассматриваемое как нефинансовая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иностранная организация в соответствии с межправительственным соглашением по Модели 1 или Модели 2 (в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 если юридическое лицо создано в стране, с которой США имеет соответствующее соглашение по</w:t>
      </w:r>
      <w:r w:rsidR="00712DBF"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595">
        <w:rPr>
          <w:rFonts w:ascii="Times New Roman" w:eastAsia="Times New Roman" w:hAnsi="Times New Roman" w:cs="Times New Roman"/>
          <w:color w:val="000000"/>
          <w:sz w:val="24"/>
          <w:szCs w:val="24"/>
        </w:rPr>
        <w:t>FATCA).</w:t>
      </w:r>
    </w:p>
    <w:sectPr w:rsidR="00750B24" w:rsidRPr="003A5595" w:rsidSect="003A55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AB0"/>
    <w:multiLevelType w:val="hybridMultilevel"/>
    <w:tmpl w:val="8DE86580"/>
    <w:lvl w:ilvl="0" w:tplc="08564A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2D63"/>
    <w:multiLevelType w:val="hybridMultilevel"/>
    <w:tmpl w:val="D6005B1C"/>
    <w:lvl w:ilvl="0" w:tplc="53A44B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138FE"/>
    <w:multiLevelType w:val="hybridMultilevel"/>
    <w:tmpl w:val="88FC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1558"/>
    <w:multiLevelType w:val="hybridMultilevel"/>
    <w:tmpl w:val="0F92AC62"/>
    <w:lvl w:ilvl="0" w:tplc="410601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B24"/>
    <w:rsid w:val="000A5633"/>
    <w:rsid w:val="00186516"/>
    <w:rsid w:val="002647DE"/>
    <w:rsid w:val="002F22FD"/>
    <w:rsid w:val="003638ED"/>
    <w:rsid w:val="003A5595"/>
    <w:rsid w:val="00507F78"/>
    <w:rsid w:val="00712DBF"/>
    <w:rsid w:val="00750B24"/>
    <w:rsid w:val="00836DEC"/>
    <w:rsid w:val="00A42AB2"/>
    <w:rsid w:val="00AC299C"/>
    <w:rsid w:val="00C53144"/>
    <w:rsid w:val="00C971E7"/>
    <w:rsid w:val="00D5058B"/>
    <w:rsid w:val="00EE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0B2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50B2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50B2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8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0B2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50B2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50B2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8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mmh</dc:creator>
  <cp:lastModifiedBy>mmh</cp:lastModifiedBy>
  <cp:revision>4</cp:revision>
  <dcterms:created xsi:type="dcterms:W3CDTF">2017-02-07T12:30:00Z</dcterms:created>
  <dcterms:modified xsi:type="dcterms:W3CDTF">2017-02-14T12:15:00Z</dcterms:modified>
</cp:coreProperties>
</file>